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E6" w:rsidRPr="00A85AE6" w:rsidRDefault="00A85AE6" w:rsidP="00A85AE6">
      <w:pPr>
        <w:spacing w:before="100" w:beforeAutospacing="1" w:after="100" w:afterAutospacing="1" w:line="240" w:lineRule="auto"/>
        <w:outlineLvl w:val="1"/>
      </w:pPr>
      <w:r w:rsidRPr="00A85AE6">
        <w:fldChar w:fldCharType="begin"/>
      </w:r>
      <w:r w:rsidRPr="00A85AE6">
        <w:instrText xml:space="preserve"> HYPERLINK "http://www.teachhub.com/what-academic-rigor-what-do-we-do-it" </w:instrText>
      </w:r>
      <w:r w:rsidRPr="00A85AE6">
        <w:fldChar w:fldCharType="separate"/>
      </w:r>
      <w:r w:rsidRPr="00A85AE6">
        <w:rPr>
          <w:rStyle w:val="Hyperlink"/>
        </w:rPr>
        <w:t>http://www.teachhub.com/what-academic-rigor-what-do-we-do-it</w:t>
      </w:r>
      <w:r w:rsidRPr="00A85AE6">
        <w:fldChar w:fldCharType="end"/>
      </w:r>
    </w:p>
    <w:p w:rsidR="00A85AE6" w:rsidRPr="00A85AE6" w:rsidRDefault="00A85AE6" w:rsidP="00A85AE6">
      <w:pPr>
        <w:spacing w:before="100" w:beforeAutospacing="1" w:after="100" w:afterAutospacing="1" w:line="240" w:lineRule="auto"/>
        <w:outlineLvl w:val="0"/>
        <w:rPr>
          <w:rFonts w:eastAsia="Times New Roman" w:cs="Times New Roman"/>
          <w:b/>
          <w:bCs/>
          <w:kern w:val="36"/>
        </w:rPr>
      </w:pPr>
      <w:r w:rsidRPr="00A85AE6">
        <w:rPr>
          <w:rFonts w:eastAsia="Times New Roman" w:cs="Times New Roman"/>
          <w:b/>
          <w:bCs/>
          <w:kern w:val="36"/>
        </w:rPr>
        <w:t xml:space="preserve">What is Academic Rigor, What Do We Do with It? </w:t>
      </w:r>
    </w:p>
    <w:p w:rsidR="00A85AE6" w:rsidRDefault="00A85AE6" w:rsidP="00A85AE6">
      <w:pPr>
        <w:spacing w:after="0" w:line="240" w:lineRule="auto"/>
        <w:rPr>
          <w:rFonts w:eastAsia="Times New Roman" w:cs="Times New Roman"/>
        </w:rPr>
      </w:pPr>
      <w:r w:rsidRPr="00A85AE6">
        <w:rPr>
          <w:rFonts w:eastAsia="Times New Roman" w:cs="Times New Roman"/>
        </w:rPr>
        <w:t xml:space="preserve">By: </w:t>
      </w:r>
      <w:hyperlink r:id="rId5" w:history="1">
        <w:r w:rsidRPr="00A85AE6">
          <w:rPr>
            <w:rFonts w:eastAsia="Times New Roman" w:cs="Times New Roman"/>
            <w:color w:val="0000FF"/>
            <w:u w:val="single"/>
          </w:rPr>
          <w:t xml:space="preserve">Jordan </w:t>
        </w:r>
        <w:proofErr w:type="spellStart"/>
        <w:r w:rsidRPr="00A85AE6">
          <w:rPr>
            <w:rFonts w:eastAsia="Times New Roman" w:cs="Times New Roman"/>
            <w:color w:val="0000FF"/>
            <w:u w:val="single"/>
          </w:rPr>
          <w:t>Catapano</w:t>
        </w:r>
        <w:proofErr w:type="spellEnd"/>
      </w:hyperlink>
      <w:r w:rsidRPr="00A85AE6">
        <w:rPr>
          <w:rFonts w:eastAsia="Times New Roman" w:cs="Times New Roman"/>
        </w:rPr>
        <w:t xml:space="preserve"> </w:t>
      </w:r>
    </w:p>
    <w:p w:rsidR="00CE1C23" w:rsidRDefault="00CE1C23" w:rsidP="00A85AE6">
      <w:pPr>
        <w:spacing w:after="0" w:line="240" w:lineRule="auto"/>
        <w:rPr>
          <w:rFonts w:eastAsia="Times New Roman" w:cs="Times New Roman"/>
        </w:rPr>
      </w:pPr>
    </w:p>
    <w:p w:rsidR="00CE1C23" w:rsidRPr="00CE1C23" w:rsidRDefault="00CE1C23" w:rsidP="00CE1C23">
      <w:pPr>
        <w:spacing w:after="0" w:line="240" w:lineRule="auto"/>
        <w:rPr>
          <w:rFonts w:eastAsia="Times New Roman" w:cs="Times New Roman"/>
        </w:rPr>
      </w:pPr>
      <w:r w:rsidRPr="00CE1C23">
        <w:rPr>
          <w:rFonts w:eastAsia="Times New Roman" w:cs="Times New Roman"/>
        </w:rPr>
        <w:t xml:space="preserve">We all know that there is a certain standard of excellence that we implicitly expect of our students. Sometimes these standards are made clear to students via examples, rubrics, directions, and instruction. Sometimes these standards are less defined. </w:t>
      </w:r>
    </w:p>
    <w:p w:rsidR="00CE1C23" w:rsidRDefault="00CE1C23" w:rsidP="00CE1C23">
      <w:pPr>
        <w:spacing w:after="0" w:line="240" w:lineRule="auto"/>
        <w:rPr>
          <w:rFonts w:eastAsia="Times New Roman" w:cs="Times New Roman"/>
        </w:rPr>
      </w:pPr>
      <w:r w:rsidRPr="00CE1C23">
        <w:rPr>
          <w:rFonts w:eastAsia="Times New Roman" w:cs="Times New Roman"/>
        </w:rPr>
        <w:t>What is essential for establishing the appropriate degree of rigor in your classroom is making sure that you overtly demonstrate to students what the expected outcome is? Here are a few key characteristics of a classroom that communicates the standards.</w:t>
      </w:r>
    </w:p>
    <w:p w:rsidR="00CE1C23" w:rsidRPr="00A85AE6" w:rsidRDefault="00CE1C23" w:rsidP="00A85AE6">
      <w:pPr>
        <w:spacing w:after="0" w:line="240" w:lineRule="auto"/>
        <w:rPr>
          <w:rFonts w:eastAsia="Times New Roman" w:cs="Times New Roman"/>
        </w:rPr>
      </w:pPr>
    </w:p>
    <w:tbl>
      <w:tblPr>
        <w:tblStyle w:val="TableGrid"/>
        <w:tblW w:w="13770" w:type="dxa"/>
        <w:tblInd w:w="-365" w:type="dxa"/>
        <w:tblLook w:val="04A0" w:firstRow="1" w:lastRow="0" w:firstColumn="1" w:lastColumn="0" w:noHBand="0" w:noVBand="1"/>
      </w:tblPr>
      <w:tblGrid>
        <w:gridCol w:w="6750"/>
        <w:gridCol w:w="7020"/>
      </w:tblGrid>
      <w:tr w:rsidR="00CE1C23" w:rsidTr="00CE1C23">
        <w:tc>
          <w:tcPr>
            <w:tcW w:w="13770" w:type="dxa"/>
            <w:gridSpan w:val="2"/>
          </w:tcPr>
          <w:p w:rsidR="00CE1C23" w:rsidRPr="00CE1C23" w:rsidRDefault="00CE1C23" w:rsidP="00A85AE6">
            <w:pPr>
              <w:spacing w:before="100" w:beforeAutospacing="1" w:after="100" w:afterAutospacing="1"/>
              <w:outlineLvl w:val="1"/>
              <w:rPr>
                <w:rFonts w:eastAsia="Times New Roman" w:cs="Times New Roman"/>
                <w:b/>
                <w:bCs/>
              </w:rPr>
            </w:pPr>
            <w:r w:rsidRPr="00A85AE6">
              <w:t>“Rigor,” in the academic sense, is referring to that fine line between challenging and frustrating a student. It means that students are challenged to think, perform, and grow to a level that they were not at previously. It means that students must work, like an athlete at a team practice, to build their skills, understanding, and thinking power so that they can achieve at higher and higher levels. It means that the standards of the course are calibrated so that students are compelled to grow, but are not frustrated and overwhelmed in the process.</w:t>
            </w:r>
          </w:p>
        </w:tc>
        <w:bookmarkStart w:id="0" w:name="_GoBack"/>
        <w:bookmarkEnd w:id="0"/>
      </w:tr>
      <w:tr w:rsidR="00CE1C23" w:rsidTr="00CE1C23">
        <w:tc>
          <w:tcPr>
            <w:tcW w:w="6750" w:type="dxa"/>
          </w:tcPr>
          <w:p w:rsidR="00CE1C23" w:rsidRDefault="00CE1C23" w:rsidP="00CE1C23">
            <w:pPr>
              <w:spacing w:before="100" w:beforeAutospacing="1" w:after="100" w:afterAutospacing="1"/>
              <w:outlineLvl w:val="1"/>
              <w:rPr>
                <w:rFonts w:eastAsia="Times New Roman" w:cs="Times New Roman"/>
                <w:b/>
                <w:bCs/>
              </w:rPr>
            </w:pPr>
            <w:r w:rsidRPr="00A85AE6">
              <w:rPr>
                <w:rFonts w:eastAsia="Times New Roman" w:cs="Times New Roman"/>
                <w:b/>
                <w:bCs/>
              </w:rPr>
              <w:t>Setting the Standard</w:t>
            </w:r>
          </w:p>
          <w:p w:rsidR="00CE1C23" w:rsidRPr="00CE1C23" w:rsidRDefault="00CE1C23" w:rsidP="00CE1C23">
            <w:pPr>
              <w:spacing w:before="100" w:beforeAutospacing="1" w:after="100" w:afterAutospacing="1"/>
              <w:outlineLvl w:val="1"/>
              <w:rPr>
                <w:rFonts w:eastAsia="Times New Roman" w:cs="Times New Roman"/>
                <w:b/>
                <w:bCs/>
              </w:rPr>
            </w:pPr>
            <w:r w:rsidRPr="00A85AE6">
              <w:rPr>
                <w:rFonts w:eastAsia="Times New Roman" w:cs="Times New Roman"/>
              </w:rPr>
              <w:t xml:space="preserve">We all know that there is a certain standard of excellence that we implicitly expect of our students. Sometimes these standards are made clear to students via examples, </w:t>
            </w:r>
            <w:hyperlink r:id="rId6" w:history="1">
              <w:r w:rsidRPr="00A85AE6">
                <w:rPr>
                  <w:rFonts w:eastAsia="Times New Roman" w:cs="Times New Roman"/>
                  <w:b/>
                  <w:bCs/>
                  <w:color w:val="0000FF"/>
                  <w:u w:val="single"/>
                </w:rPr>
                <w:t>rubrics</w:t>
              </w:r>
            </w:hyperlink>
            <w:r w:rsidRPr="00A85AE6">
              <w:rPr>
                <w:rFonts w:eastAsia="Times New Roman" w:cs="Times New Roman"/>
              </w:rPr>
              <w:t>, directions, and instruction. Sometimes these standards are less defined. What is essential for establishing the appropriate degree of rigor in your classroom is making sure that you overtly demonstrate to students what the expected outcome is. Here are a few key characteristics of a classroom that communicates the standards.</w:t>
            </w:r>
          </w:p>
          <w:p w:rsidR="00CE1C23" w:rsidRDefault="00CE1C23" w:rsidP="00A85AE6">
            <w:pPr>
              <w:spacing w:before="100" w:beforeAutospacing="1" w:after="100" w:afterAutospacing="1"/>
              <w:outlineLvl w:val="1"/>
            </w:pPr>
          </w:p>
        </w:tc>
        <w:tc>
          <w:tcPr>
            <w:tcW w:w="7020" w:type="dxa"/>
          </w:tcPr>
          <w:p w:rsidR="00CE1C23" w:rsidRPr="00A85AE6" w:rsidRDefault="00CE1C23" w:rsidP="00CE1C23">
            <w:pPr>
              <w:numPr>
                <w:ilvl w:val="0"/>
                <w:numId w:val="1"/>
              </w:numPr>
              <w:spacing w:before="100" w:beforeAutospacing="1" w:after="100" w:afterAutospacing="1"/>
              <w:rPr>
                <w:rFonts w:eastAsia="Times New Roman" w:cs="Times New Roman"/>
              </w:rPr>
            </w:pPr>
            <w:r w:rsidRPr="00A85AE6">
              <w:rPr>
                <w:rFonts w:eastAsia="Times New Roman" w:cs="Times New Roman"/>
              </w:rPr>
              <w:t>Total classroom environment endorses a high-degree of performance from each student.</w:t>
            </w:r>
          </w:p>
          <w:p w:rsidR="00CE1C23" w:rsidRPr="00A85AE6" w:rsidRDefault="00CE1C23" w:rsidP="00CE1C23">
            <w:pPr>
              <w:numPr>
                <w:ilvl w:val="0"/>
                <w:numId w:val="1"/>
              </w:numPr>
              <w:spacing w:before="100" w:beforeAutospacing="1" w:after="100" w:afterAutospacing="1"/>
              <w:rPr>
                <w:rFonts w:eastAsia="Times New Roman" w:cs="Times New Roman"/>
              </w:rPr>
            </w:pPr>
            <w:r w:rsidRPr="00A85AE6">
              <w:rPr>
                <w:rFonts w:eastAsia="Times New Roman" w:cs="Times New Roman"/>
              </w:rPr>
              <w:t>Teacher believes in the potential for each student’s success and communicates this belief.</w:t>
            </w:r>
          </w:p>
          <w:p w:rsidR="00CE1C23" w:rsidRPr="00A85AE6" w:rsidRDefault="00CE1C23" w:rsidP="00CE1C23">
            <w:pPr>
              <w:numPr>
                <w:ilvl w:val="0"/>
                <w:numId w:val="1"/>
              </w:numPr>
              <w:spacing w:before="100" w:beforeAutospacing="1" w:after="100" w:afterAutospacing="1"/>
              <w:rPr>
                <w:rFonts w:eastAsia="Times New Roman" w:cs="Times New Roman"/>
              </w:rPr>
            </w:pPr>
            <w:hyperlink r:id="rId7" w:history="1">
              <w:r w:rsidRPr="00A85AE6">
                <w:rPr>
                  <w:rFonts w:eastAsia="Times New Roman" w:cs="Times New Roman"/>
                  <w:b/>
                  <w:bCs/>
                  <w:color w:val="0000FF"/>
                  <w:u w:val="single"/>
                </w:rPr>
                <w:t>Lessons</w:t>
              </w:r>
            </w:hyperlink>
            <w:r w:rsidRPr="00A85AE6">
              <w:rPr>
                <w:rFonts w:eastAsia="Times New Roman" w:cs="Times New Roman"/>
              </w:rPr>
              <w:t xml:space="preserve"> and tasks are designed to lead students to expected outcomes.</w:t>
            </w:r>
          </w:p>
          <w:p w:rsidR="00CE1C23" w:rsidRPr="00A85AE6" w:rsidRDefault="00CE1C23" w:rsidP="00CE1C23">
            <w:pPr>
              <w:numPr>
                <w:ilvl w:val="0"/>
                <w:numId w:val="1"/>
              </w:numPr>
              <w:spacing w:before="100" w:beforeAutospacing="1" w:after="100" w:afterAutospacing="1"/>
              <w:rPr>
                <w:rFonts w:eastAsia="Times New Roman" w:cs="Times New Roman"/>
              </w:rPr>
            </w:pPr>
            <w:r w:rsidRPr="00A85AE6">
              <w:rPr>
                <w:rFonts w:eastAsia="Times New Roman" w:cs="Times New Roman"/>
              </w:rPr>
              <w:t>Examples of desired outcomes and undesired outcomes are overtly shared with students.</w:t>
            </w:r>
          </w:p>
          <w:p w:rsidR="00CE1C23" w:rsidRPr="00A85AE6" w:rsidRDefault="00CE1C23" w:rsidP="00CE1C23">
            <w:pPr>
              <w:numPr>
                <w:ilvl w:val="0"/>
                <w:numId w:val="1"/>
              </w:numPr>
              <w:spacing w:before="100" w:beforeAutospacing="1" w:after="100" w:afterAutospacing="1"/>
              <w:rPr>
                <w:rFonts w:eastAsia="Times New Roman" w:cs="Times New Roman"/>
              </w:rPr>
            </w:pPr>
            <w:r w:rsidRPr="00A85AE6">
              <w:rPr>
                <w:rFonts w:eastAsia="Times New Roman" w:cs="Times New Roman"/>
              </w:rPr>
              <w:t>Students have opportunity to revise their academic attempts.</w:t>
            </w:r>
          </w:p>
          <w:p w:rsidR="00CE1C23" w:rsidRPr="00A85AE6" w:rsidRDefault="00CE1C23" w:rsidP="00CE1C23">
            <w:pPr>
              <w:numPr>
                <w:ilvl w:val="0"/>
                <w:numId w:val="1"/>
              </w:numPr>
              <w:spacing w:before="100" w:beforeAutospacing="1" w:after="100" w:afterAutospacing="1"/>
              <w:rPr>
                <w:rFonts w:eastAsia="Times New Roman" w:cs="Times New Roman"/>
              </w:rPr>
            </w:pPr>
            <w:r w:rsidRPr="00A85AE6">
              <w:rPr>
                <w:rFonts w:eastAsia="Times New Roman" w:cs="Times New Roman"/>
              </w:rPr>
              <w:t>Higher-level, thought-provoking questions are asked by teacher.</w:t>
            </w:r>
          </w:p>
          <w:p w:rsidR="00CE1C23" w:rsidRPr="00A85AE6" w:rsidRDefault="00CE1C23" w:rsidP="00CE1C23">
            <w:pPr>
              <w:numPr>
                <w:ilvl w:val="0"/>
                <w:numId w:val="1"/>
              </w:numPr>
              <w:spacing w:before="100" w:beforeAutospacing="1" w:after="100" w:afterAutospacing="1"/>
              <w:rPr>
                <w:rFonts w:eastAsia="Times New Roman" w:cs="Times New Roman"/>
              </w:rPr>
            </w:pPr>
            <w:r w:rsidRPr="00A85AE6">
              <w:rPr>
                <w:rFonts w:eastAsia="Times New Roman" w:cs="Times New Roman"/>
              </w:rPr>
              <w:t>High-level, thought-provoking answers are shared by students.</w:t>
            </w:r>
          </w:p>
          <w:p w:rsidR="00CE1C23" w:rsidRPr="00CE1C23" w:rsidRDefault="00CE1C23" w:rsidP="00CE1C23">
            <w:pPr>
              <w:numPr>
                <w:ilvl w:val="0"/>
                <w:numId w:val="1"/>
              </w:numPr>
              <w:spacing w:before="100" w:beforeAutospacing="1" w:after="100" w:afterAutospacing="1"/>
              <w:rPr>
                <w:rFonts w:eastAsia="Times New Roman" w:cs="Times New Roman"/>
              </w:rPr>
            </w:pPr>
            <w:r w:rsidRPr="00A85AE6">
              <w:rPr>
                <w:rFonts w:eastAsia="Times New Roman" w:cs="Times New Roman"/>
              </w:rPr>
              <w:t>Teacher does not accept lower-level thinking or answers in discussion or academic tasks.</w:t>
            </w:r>
          </w:p>
        </w:tc>
      </w:tr>
      <w:tr w:rsidR="00CE1C23" w:rsidTr="00CE1C23">
        <w:tc>
          <w:tcPr>
            <w:tcW w:w="6750" w:type="dxa"/>
          </w:tcPr>
          <w:p w:rsidR="00CE1C23" w:rsidRPr="00A85AE6" w:rsidRDefault="00CE1C23" w:rsidP="00CE1C23">
            <w:pPr>
              <w:spacing w:before="100" w:beforeAutospacing="1" w:after="100" w:afterAutospacing="1"/>
              <w:outlineLvl w:val="1"/>
              <w:rPr>
                <w:rFonts w:eastAsia="Times New Roman" w:cs="Times New Roman"/>
                <w:b/>
                <w:bCs/>
              </w:rPr>
            </w:pPr>
            <w:r w:rsidRPr="00A85AE6">
              <w:rPr>
                <w:rFonts w:eastAsia="Times New Roman" w:cs="Times New Roman"/>
                <w:b/>
                <w:bCs/>
              </w:rPr>
              <w:t>Supporting Rigorous Achievement</w:t>
            </w:r>
          </w:p>
          <w:p w:rsidR="00CE1C23" w:rsidRDefault="00CE1C23" w:rsidP="00CE1C23">
            <w:pPr>
              <w:spacing w:before="100" w:beforeAutospacing="1" w:after="100" w:afterAutospacing="1"/>
              <w:outlineLvl w:val="1"/>
            </w:pPr>
            <w:r w:rsidRPr="00A85AE6">
              <w:rPr>
                <w:rFonts w:eastAsia="Times New Roman" w:cs="Times New Roman"/>
              </w:rPr>
              <w:t xml:space="preserve">Not only is maintaining a high standard essential for student success, but excellent teachers must also make sure that they are supporting each and every student to move progressively toward the desired level of achievement. Teachers must consistently ensure that whatever the </w:t>
            </w:r>
            <w:r w:rsidRPr="00A85AE6">
              <w:rPr>
                <w:rFonts w:eastAsia="Times New Roman" w:cs="Times New Roman"/>
              </w:rPr>
              <w:lastRenderedPageBreak/>
              <w:t>content or skill they are covering, they provide the requisite materials and instructional patterns.</w:t>
            </w:r>
          </w:p>
        </w:tc>
        <w:tc>
          <w:tcPr>
            <w:tcW w:w="7020" w:type="dxa"/>
          </w:tcPr>
          <w:p w:rsidR="00CE1C23" w:rsidRPr="00A85AE6" w:rsidRDefault="00CE1C23" w:rsidP="00CE1C23">
            <w:pPr>
              <w:spacing w:before="100" w:beforeAutospacing="1" w:after="100" w:afterAutospacing="1"/>
              <w:rPr>
                <w:rFonts w:eastAsia="Times New Roman" w:cs="Times New Roman"/>
              </w:rPr>
            </w:pPr>
            <w:r w:rsidRPr="00A85AE6">
              <w:rPr>
                <w:rFonts w:eastAsia="Times New Roman" w:cs="Times New Roman"/>
              </w:rPr>
              <w:lastRenderedPageBreak/>
              <w:t xml:space="preserve">Here are the signs of a </w:t>
            </w:r>
            <w:hyperlink r:id="rId8" w:history="1">
              <w:r w:rsidRPr="00A85AE6">
                <w:rPr>
                  <w:rFonts w:eastAsia="Times New Roman" w:cs="Times New Roman"/>
                  <w:b/>
                  <w:bCs/>
                  <w:color w:val="0000FF"/>
                  <w:u w:val="single"/>
                </w:rPr>
                <w:t>classroom environment supportive for student progress</w:t>
              </w:r>
            </w:hyperlink>
            <w:r w:rsidRPr="00A85AE6">
              <w:rPr>
                <w:rFonts w:eastAsia="Times New Roman" w:cs="Times New Roman"/>
              </w:rPr>
              <w:t>:</w:t>
            </w:r>
          </w:p>
          <w:p w:rsidR="00CE1C23" w:rsidRPr="00A85AE6" w:rsidRDefault="00CE1C23" w:rsidP="00CE1C23">
            <w:pPr>
              <w:numPr>
                <w:ilvl w:val="0"/>
                <w:numId w:val="2"/>
              </w:numPr>
              <w:spacing w:before="100" w:beforeAutospacing="1" w:after="100" w:afterAutospacing="1"/>
              <w:rPr>
                <w:rFonts w:eastAsia="Times New Roman" w:cs="Times New Roman"/>
              </w:rPr>
            </w:pPr>
            <w:r w:rsidRPr="00A85AE6">
              <w:rPr>
                <w:rFonts w:eastAsia="Times New Roman" w:cs="Times New Roman"/>
              </w:rPr>
              <w:t>Lessons are systematically scaffolded from one to the next.</w:t>
            </w:r>
          </w:p>
          <w:p w:rsidR="00CE1C23" w:rsidRPr="00A85AE6" w:rsidRDefault="00CE1C23" w:rsidP="00CE1C23">
            <w:pPr>
              <w:numPr>
                <w:ilvl w:val="0"/>
                <w:numId w:val="2"/>
              </w:numPr>
              <w:spacing w:before="100" w:beforeAutospacing="1" w:after="100" w:afterAutospacing="1"/>
              <w:rPr>
                <w:rFonts w:eastAsia="Times New Roman" w:cs="Times New Roman"/>
              </w:rPr>
            </w:pPr>
            <w:r w:rsidRPr="00A85AE6">
              <w:rPr>
                <w:rFonts w:eastAsia="Times New Roman" w:cs="Times New Roman"/>
              </w:rPr>
              <w:t>Materials are consistently organized to clearly provide instructions and demonstration of task.</w:t>
            </w:r>
          </w:p>
          <w:p w:rsidR="00CE1C23" w:rsidRPr="00A85AE6" w:rsidRDefault="00CE1C23" w:rsidP="00CE1C23">
            <w:pPr>
              <w:numPr>
                <w:ilvl w:val="0"/>
                <w:numId w:val="2"/>
              </w:numPr>
              <w:spacing w:before="100" w:beforeAutospacing="1" w:after="100" w:afterAutospacing="1"/>
              <w:rPr>
                <w:rFonts w:eastAsia="Times New Roman" w:cs="Times New Roman"/>
              </w:rPr>
            </w:pPr>
            <w:r w:rsidRPr="00A85AE6">
              <w:rPr>
                <w:rFonts w:eastAsia="Times New Roman" w:cs="Times New Roman"/>
              </w:rPr>
              <w:lastRenderedPageBreak/>
              <w:t>Intervention tasks or instructions are regularly utilized to ensure no students are left behind.</w:t>
            </w:r>
          </w:p>
          <w:p w:rsidR="00CE1C23" w:rsidRPr="00A85AE6" w:rsidRDefault="00CE1C23" w:rsidP="00CE1C23">
            <w:pPr>
              <w:numPr>
                <w:ilvl w:val="0"/>
                <w:numId w:val="2"/>
              </w:numPr>
              <w:spacing w:before="100" w:beforeAutospacing="1" w:after="100" w:afterAutospacing="1"/>
              <w:rPr>
                <w:rFonts w:eastAsia="Times New Roman" w:cs="Times New Roman"/>
              </w:rPr>
            </w:pPr>
            <w:r w:rsidRPr="00A85AE6">
              <w:rPr>
                <w:rFonts w:eastAsia="Times New Roman" w:cs="Times New Roman"/>
              </w:rPr>
              <w:t xml:space="preserve">Teacher is available for helping students individually at other points </w:t>
            </w:r>
            <w:r>
              <w:rPr>
                <w:rFonts w:eastAsia="Times New Roman" w:cs="Times New Roman"/>
              </w:rPr>
              <w:t>throughout the day</w:t>
            </w:r>
          </w:p>
          <w:p w:rsidR="00CE1C23" w:rsidRPr="00A85AE6" w:rsidRDefault="00CE1C23" w:rsidP="00CE1C23">
            <w:pPr>
              <w:numPr>
                <w:ilvl w:val="0"/>
                <w:numId w:val="2"/>
              </w:numPr>
              <w:spacing w:before="100" w:beforeAutospacing="1" w:after="100" w:afterAutospacing="1"/>
              <w:rPr>
                <w:rFonts w:eastAsia="Times New Roman" w:cs="Times New Roman"/>
              </w:rPr>
            </w:pPr>
            <w:r w:rsidRPr="00A85AE6">
              <w:rPr>
                <w:rFonts w:eastAsia="Times New Roman" w:cs="Times New Roman"/>
              </w:rPr>
              <w:t>Parents are communicated with regularly regarding the academic goals of the course.</w:t>
            </w:r>
          </w:p>
          <w:p w:rsidR="00CE1C23" w:rsidRPr="00A85AE6" w:rsidRDefault="00CE1C23" w:rsidP="00CE1C23">
            <w:pPr>
              <w:numPr>
                <w:ilvl w:val="0"/>
                <w:numId w:val="2"/>
              </w:numPr>
              <w:spacing w:before="100" w:beforeAutospacing="1" w:after="100" w:afterAutospacing="1"/>
              <w:rPr>
                <w:rFonts w:eastAsia="Times New Roman" w:cs="Times New Roman"/>
              </w:rPr>
            </w:pPr>
            <w:r w:rsidRPr="00A85AE6">
              <w:rPr>
                <w:rFonts w:eastAsia="Times New Roman" w:cs="Times New Roman"/>
              </w:rPr>
              <w:t>Learning tools are color-coded, graphically organized, reinforced, and interactive.</w:t>
            </w:r>
          </w:p>
          <w:p w:rsidR="00CE1C23" w:rsidRPr="00CE1C23" w:rsidRDefault="00CE1C23" w:rsidP="00CE1C23">
            <w:pPr>
              <w:numPr>
                <w:ilvl w:val="0"/>
                <w:numId w:val="2"/>
              </w:numPr>
              <w:spacing w:before="100" w:beforeAutospacing="1" w:after="100" w:afterAutospacing="1"/>
              <w:rPr>
                <w:rFonts w:eastAsia="Times New Roman" w:cs="Times New Roman"/>
              </w:rPr>
            </w:pPr>
            <w:r w:rsidRPr="00A85AE6">
              <w:rPr>
                <w:rFonts w:eastAsia="Times New Roman" w:cs="Times New Roman"/>
              </w:rPr>
              <w:t>Content is made relevant and relatable to student background information and interest.</w:t>
            </w:r>
          </w:p>
        </w:tc>
      </w:tr>
      <w:tr w:rsidR="00CE1C23" w:rsidTr="00CE1C23">
        <w:tc>
          <w:tcPr>
            <w:tcW w:w="6750" w:type="dxa"/>
          </w:tcPr>
          <w:p w:rsidR="00CE1C23" w:rsidRPr="00A85AE6" w:rsidRDefault="00CE1C23" w:rsidP="00CE1C23">
            <w:pPr>
              <w:spacing w:before="100" w:beforeAutospacing="1" w:after="100" w:afterAutospacing="1"/>
              <w:outlineLvl w:val="1"/>
              <w:rPr>
                <w:rFonts w:eastAsia="Times New Roman" w:cs="Times New Roman"/>
                <w:b/>
                <w:bCs/>
              </w:rPr>
            </w:pPr>
            <w:r w:rsidRPr="00A85AE6">
              <w:rPr>
                <w:rFonts w:eastAsia="Times New Roman" w:cs="Times New Roman"/>
                <w:b/>
                <w:bCs/>
              </w:rPr>
              <w:lastRenderedPageBreak/>
              <w:t>Validation of Achievement</w:t>
            </w:r>
          </w:p>
          <w:p w:rsidR="00CE1C23" w:rsidRDefault="00CE1C23" w:rsidP="00CE1C23">
            <w:pPr>
              <w:spacing w:before="100" w:beforeAutospacing="1" w:after="100" w:afterAutospacing="1"/>
              <w:outlineLvl w:val="1"/>
            </w:pPr>
            <w:r w:rsidRPr="00A85AE6">
              <w:rPr>
                <w:rFonts w:eastAsia="Times New Roman" w:cs="Times New Roman"/>
              </w:rPr>
              <w:t>It’s not enough for teachers simply to “teach” and expect students then to “learn.” The final step for true assessment of academic rigor within the classroom is for the teacher to provide students with various opportunities to demonstrate their degree of achievement in relation to the given standard.</w:t>
            </w:r>
          </w:p>
        </w:tc>
        <w:tc>
          <w:tcPr>
            <w:tcW w:w="7020" w:type="dxa"/>
          </w:tcPr>
          <w:p w:rsidR="00CE1C23" w:rsidRPr="00A85AE6" w:rsidRDefault="00CE1C23" w:rsidP="00CE1C23">
            <w:pPr>
              <w:spacing w:before="100" w:beforeAutospacing="1" w:after="100" w:afterAutospacing="1"/>
              <w:rPr>
                <w:rFonts w:eastAsia="Times New Roman" w:cs="Times New Roman"/>
              </w:rPr>
            </w:pPr>
            <w:r w:rsidRPr="00A85AE6">
              <w:rPr>
                <w:rFonts w:eastAsia="Times New Roman" w:cs="Times New Roman"/>
              </w:rPr>
              <w:t>Here are a variety of methods available for allowing students to exemplify their progress:</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A balance of formative and summative assessments intermittently provided.</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Student demonstration measured using a rubric or other standard-based assessment tool.</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Students allowed the opportunity to conference and revise work.</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Homework and class activities thought of as “practice.”</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Students work independently or collaboratively on a given project.</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Students connect material to real-life examples and situations.</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Students provide a written or spoken summative report.</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 xml:space="preserve">Students </w:t>
            </w:r>
            <w:proofErr w:type="spellStart"/>
            <w:r w:rsidRPr="00A85AE6">
              <w:rPr>
                <w:rFonts w:eastAsia="Times New Roman" w:cs="Times New Roman"/>
              </w:rPr>
              <w:t>metacognitively</w:t>
            </w:r>
            <w:proofErr w:type="spellEnd"/>
            <w:r w:rsidRPr="00A85AE6">
              <w:rPr>
                <w:rFonts w:eastAsia="Times New Roman" w:cs="Times New Roman"/>
              </w:rPr>
              <w:t xml:space="preserve"> apply a variety of content learned.</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Student performance compared to previous student attempts.</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Students provide high-level answers to high-level questions.</w:t>
            </w:r>
          </w:p>
          <w:p w:rsidR="00CE1C23" w:rsidRPr="00A85AE6"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Students do not give up or feel overwhelmed when faced with challenges.</w:t>
            </w:r>
          </w:p>
          <w:p w:rsidR="00CE1C23" w:rsidRPr="00CE1C23" w:rsidRDefault="00CE1C23" w:rsidP="00CE1C23">
            <w:pPr>
              <w:numPr>
                <w:ilvl w:val="0"/>
                <w:numId w:val="3"/>
              </w:numPr>
              <w:spacing w:before="100" w:beforeAutospacing="1" w:after="100" w:afterAutospacing="1"/>
              <w:rPr>
                <w:rFonts w:eastAsia="Times New Roman" w:cs="Times New Roman"/>
              </w:rPr>
            </w:pPr>
            <w:r w:rsidRPr="00A85AE6">
              <w:rPr>
                <w:rFonts w:eastAsia="Times New Roman" w:cs="Times New Roman"/>
              </w:rPr>
              <w:t>Students reflect on their learning progress and efforts.</w:t>
            </w:r>
          </w:p>
        </w:tc>
      </w:tr>
      <w:tr w:rsidR="00CE1C23" w:rsidTr="00CE1C23">
        <w:tc>
          <w:tcPr>
            <w:tcW w:w="13770" w:type="dxa"/>
            <w:gridSpan w:val="2"/>
          </w:tcPr>
          <w:p w:rsidR="00CE1C23" w:rsidRPr="00CE1C23" w:rsidRDefault="00CE1C23" w:rsidP="00CE1C23">
            <w:pPr>
              <w:spacing w:before="100" w:beforeAutospacing="1" w:after="100" w:afterAutospacing="1"/>
              <w:rPr>
                <w:rFonts w:eastAsia="Times New Roman" w:cs="Times New Roman"/>
              </w:rPr>
            </w:pPr>
            <w:r w:rsidRPr="00A85AE6">
              <w:rPr>
                <w:rFonts w:eastAsia="Times New Roman" w:cs="Times New Roman"/>
              </w:rPr>
              <w:t>So what are your standards in your classroom? How are those communicated, supported, and demonstrated throughout the year? Take time to consider how “rigorous” the academic requirements are for your classroom, and shape the environment to consistently demand of students higher and higher levels of academic progress!</w:t>
            </w:r>
          </w:p>
        </w:tc>
      </w:tr>
    </w:tbl>
    <w:p w:rsidR="00A85AE6" w:rsidRPr="00A85AE6" w:rsidRDefault="00A85AE6"/>
    <w:sectPr w:rsidR="00A85AE6" w:rsidRPr="00A85AE6" w:rsidSect="00CE1C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27B57"/>
    <w:multiLevelType w:val="multilevel"/>
    <w:tmpl w:val="FA2C0D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B132A14"/>
    <w:multiLevelType w:val="multilevel"/>
    <w:tmpl w:val="DED0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409AD"/>
    <w:multiLevelType w:val="multilevel"/>
    <w:tmpl w:val="DC4C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E6"/>
    <w:rsid w:val="00057C58"/>
    <w:rsid w:val="003C7C23"/>
    <w:rsid w:val="003E2D44"/>
    <w:rsid w:val="007139CC"/>
    <w:rsid w:val="007C3A19"/>
    <w:rsid w:val="00A85AE6"/>
    <w:rsid w:val="00CE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7EA4D-0CC9-458C-9D57-03613550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85A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E6"/>
    <w:rPr>
      <w:rFonts w:ascii="Times New Roman" w:eastAsia="Times New Roman" w:hAnsi="Times New Roman" w:cs="Times New Roman"/>
      <w:b/>
      <w:bCs/>
      <w:sz w:val="36"/>
      <w:szCs w:val="36"/>
    </w:rPr>
  </w:style>
  <w:style w:type="character" w:styleId="Strong">
    <w:name w:val="Strong"/>
    <w:basedOn w:val="DefaultParagraphFont"/>
    <w:uiPriority w:val="22"/>
    <w:qFormat/>
    <w:rsid w:val="00A85AE6"/>
    <w:rPr>
      <w:b/>
      <w:bCs/>
    </w:rPr>
  </w:style>
  <w:style w:type="paragraph" w:styleId="NormalWeb">
    <w:name w:val="Normal (Web)"/>
    <w:basedOn w:val="Normal"/>
    <w:uiPriority w:val="99"/>
    <w:semiHidden/>
    <w:unhideWhenUsed/>
    <w:rsid w:val="00A85A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5AE6"/>
    <w:rPr>
      <w:color w:val="0000FF"/>
      <w:u w:val="single"/>
    </w:rPr>
  </w:style>
  <w:style w:type="character" w:customStyle="1" w:styleId="Heading1Char">
    <w:name w:val="Heading 1 Char"/>
    <w:basedOn w:val="DefaultParagraphFont"/>
    <w:link w:val="Heading1"/>
    <w:uiPriority w:val="9"/>
    <w:rsid w:val="00A85A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E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5251">
      <w:bodyDiv w:val="1"/>
      <w:marLeft w:val="0"/>
      <w:marRight w:val="0"/>
      <w:marTop w:val="0"/>
      <w:marBottom w:val="0"/>
      <w:divBdr>
        <w:top w:val="none" w:sz="0" w:space="0" w:color="auto"/>
        <w:left w:val="none" w:sz="0" w:space="0" w:color="auto"/>
        <w:bottom w:val="none" w:sz="0" w:space="0" w:color="auto"/>
        <w:right w:val="none" w:sz="0" w:space="0" w:color="auto"/>
      </w:divBdr>
      <w:divsChild>
        <w:div w:id="972835035">
          <w:marLeft w:val="0"/>
          <w:marRight w:val="0"/>
          <w:marTop w:val="0"/>
          <w:marBottom w:val="0"/>
          <w:divBdr>
            <w:top w:val="none" w:sz="0" w:space="0" w:color="auto"/>
            <w:left w:val="none" w:sz="0" w:space="0" w:color="auto"/>
            <w:bottom w:val="none" w:sz="0" w:space="0" w:color="auto"/>
            <w:right w:val="none" w:sz="0" w:space="0" w:color="auto"/>
          </w:divBdr>
          <w:divsChild>
            <w:div w:id="1093668993">
              <w:marLeft w:val="0"/>
              <w:marRight w:val="0"/>
              <w:marTop w:val="0"/>
              <w:marBottom w:val="0"/>
              <w:divBdr>
                <w:top w:val="none" w:sz="0" w:space="0" w:color="auto"/>
                <w:left w:val="none" w:sz="0" w:space="0" w:color="auto"/>
                <w:bottom w:val="none" w:sz="0" w:space="0" w:color="auto"/>
                <w:right w:val="none" w:sz="0" w:space="0" w:color="auto"/>
              </w:divBdr>
              <w:divsChild>
                <w:div w:id="1500803485">
                  <w:marLeft w:val="0"/>
                  <w:marRight w:val="0"/>
                  <w:marTop w:val="0"/>
                  <w:marBottom w:val="0"/>
                  <w:divBdr>
                    <w:top w:val="none" w:sz="0" w:space="0" w:color="auto"/>
                    <w:left w:val="none" w:sz="0" w:space="0" w:color="auto"/>
                    <w:bottom w:val="none" w:sz="0" w:space="0" w:color="auto"/>
                    <w:right w:val="none" w:sz="0" w:space="0" w:color="auto"/>
                  </w:divBdr>
                  <w:divsChild>
                    <w:div w:id="1930693745">
                      <w:marLeft w:val="0"/>
                      <w:marRight w:val="0"/>
                      <w:marTop w:val="0"/>
                      <w:marBottom w:val="0"/>
                      <w:divBdr>
                        <w:top w:val="none" w:sz="0" w:space="0" w:color="auto"/>
                        <w:left w:val="none" w:sz="0" w:space="0" w:color="auto"/>
                        <w:bottom w:val="none" w:sz="0" w:space="0" w:color="auto"/>
                        <w:right w:val="none" w:sz="0" w:space="0" w:color="auto"/>
                      </w:divBdr>
                      <w:divsChild>
                        <w:div w:id="1162699385">
                          <w:marLeft w:val="0"/>
                          <w:marRight w:val="0"/>
                          <w:marTop w:val="0"/>
                          <w:marBottom w:val="0"/>
                          <w:divBdr>
                            <w:top w:val="none" w:sz="0" w:space="0" w:color="auto"/>
                            <w:left w:val="none" w:sz="0" w:space="0" w:color="auto"/>
                            <w:bottom w:val="none" w:sz="0" w:space="0" w:color="auto"/>
                            <w:right w:val="none" w:sz="0" w:space="0" w:color="auto"/>
                          </w:divBdr>
                          <w:divsChild>
                            <w:div w:id="17594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9089">
      <w:bodyDiv w:val="1"/>
      <w:marLeft w:val="0"/>
      <w:marRight w:val="0"/>
      <w:marTop w:val="0"/>
      <w:marBottom w:val="0"/>
      <w:divBdr>
        <w:top w:val="none" w:sz="0" w:space="0" w:color="auto"/>
        <w:left w:val="none" w:sz="0" w:space="0" w:color="auto"/>
        <w:bottom w:val="none" w:sz="0" w:space="0" w:color="auto"/>
        <w:right w:val="none" w:sz="0" w:space="0" w:color="auto"/>
      </w:divBdr>
    </w:div>
    <w:div w:id="399792813">
      <w:bodyDiv w:val="1"/>
      <w:marLeft w:val="0"/>
      <w:marRight w:val="0"/>
      <w:marTop w:val="0"/>
      <w:marBottom w:val="0"/>
      <w:divBdr>
        <w:top w:val="none" w:sz="0" w:space="0" w:color="auto"/>
        <w:left w:val="none" w:sz="0" w:space="0" w:color="auto"/>
        <w:bottom w:val="none" w:sz="0" w:space="0" w:color="auto"/>
        <w:right w:val="none" w:sz="0" w:space="0" w:color="auto"/>
      </w:divBdr>
    </w:div>
    <w:div w:id="728068974">
      <w:bodyDiv w:val="1"/>
      <w:marLeft w:val="0"/>
      <w:marRight w:val="0"/>
      <w:marTop w:val="0"/>
      <w:marBottom w:val="0"/>
      <w:divBdr>
        <w:top w:val="none" w:sz="0" w:space="0" w:color="auto"/>
        <w:left w:val="none" w:sz="0" w:space="0" w:color="auto"/>
        <w:bottom w:val="none" w:sz="0" w:space="0" w:color="auto"/>
        <w:right w:val="none" w:sz="0" w:space="0" w:color="auto"/>
      </w:divBdr>
    </w:div>
    <w:div w:id="1485119183">
      <w:bodyDiv w:val="1"/>
      <w:marLeft w:val="0"/>
      <w:marRight w:val="0"/>
      <w:marTop w:val="0"/>
      <w:marBottom w:val="0"/>
      <w:divBdr>
        <w:top w:val="none" w:sz="0" w:space="0" w:color="auto"/>
        <w:left w:val="none" w:sz="0" w:space="0" w:color="auto"/>
        <w:bottom w:val="none" w:sz="0" w:space="0" w:color="auto"/>
        <w:right w:val="none" w:sz="0" w:space="0" w:color="auto"/>
      </w:divBdr>
    </w:div>
    <w:div w:id="20027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hub.com/tips-creating-welcoming-classroom-environment" TargetMode="External"/><Relationship Id="rId3" Type="http://schemas.openxmlformats.org/officeDocument/2006/relationships/settings" Target="settings.xml"/><Relationship Id="rId7" Type="http://schemas.openxmlformats.org/officeDocument/2006/relationships/hyperlink" Target="http://www.teachhub.com/teaching-tools/pop-lesson-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hub.com/teacher-rubric-guide" TargetMode="External"/><Relationship Id="rId5" Type="http://schemas.openxmlformats.org/officeDocument/2006/relationships/hyperlink" Target="http://www.teachhub.com/what-academic-rigor-what-do-we-d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2</cp:revision>
  <dcterms:created xsi:type="dcterms:W3CDTF">2017-08-21T20:25:00Z</dcterms:created>
  <dcterms:modified xsi:type="dcterms:W3CDTF">2017-08-21T20:25:00Z</dcterms:modified>
</cp:coreProperties>
</file>